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64" w:rsidRDefault="00116BCC" w:rsidP="00984CD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-573405</wp:posOffset>
            </wp:positionV>
            <wp:extent cx="7141210" cy="1286510"/>
            <wp:effectExtent l="25400" t="0" r="0" b="0"/>
            <wp:wrapNone/>
            <wp:docPr id="4" name="Picture 0" descr="MPO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PO Letterhe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744" w:rsidRDefault="00047744">
      <w:pPr>
        <w:pStyle w:val="Heading1"/>
        <w:spacing w:before="86"/>
      </w:pPr>
    </w:p>
    <w:p w:rsidR="00047744" w:rsidRDefault="00047744">
      <w:pPr>
        <w:pStyle w:val="Heading1"/>
        <w:spacing w:before="86"/>
      </w:pPr>
    </w:p>
    <w:p w:rsidR="00047744" w:rsidRDefault="00047744">
      <w:pPr>
        <w:pStyle w:val="Heading1"/>
        <w:spacing w:before="86"/>
      </w:pPr>
    </w:p>
    <w:p w:rsidR="008C6A64" w:rsidRDefault="00DA3E5C">
      <w:pPr>
        <w:pStyle w:val="Heading1"/>
        <w:spacing w:before="86"/>
      </w:pPr>
      <w:r>
        <w:t xml:space="preserve">Santa Fe </w:t>
      </w:r>
      <w:proofErr w:type="spellStart"/>
      <w:r w:rsidR="00DF3693">
        <w:t>MPO</w:t>
      </w:r>
      <w:proofErr w:type="spellEnd"/>
      <w:r w:rsidR="00DF3693">
        <w:t xml:space="preserve"> Staff Report</w:t>
      </w:r>
    </w:p>
    <w:p w:rsidR="00F12427" w:rsidRDefault="00F12427" w:rsidP="00F12427">
      <w:pPr>
        <w:ind w:left="2619" w:right="2317"/>
        <w:jc w:val="center"/>
        <w:rPr>
          <w:rFonts w:ascii="Times New Roman"/>
          <w:b/>
          <w:sz w:val="24"/>
          <w:szCs w:val="24"/>
        </w:rPr>
      </w:pPr>
    </w:p>
    <w:p w:rsidR="008C6A64" w:rsidRPr="00F12427" w:rsidRDefault="00DF3693" w:rsidP="00984CD4">
      <w:pPr>
        <w:jc w:val="center"/>
        <w:rPr>
          <w:rFonts w:ascii="Times New Roman"/>
          <w:b/>
          <w:sz w:val="24"/>
          <w:szCs w:val="24"/>
        </w:rPr>
      </w:pPr>
      <w:r w:rsidRPr="00F12427">
        <w:rPr>
          <w:rFonts w:ascii="Times New Roman"/>
          <w:b/>
          <w:sz w:val="24"/>
          <w:szCs w:val="24"/>
        </w:rPr>
        <w:t xml:space="preserve">Technical </w:t>
      </w:r>
      <w:r w:rsidR="00C71572">
        <w:rPr>
          <w:rFonts w:ascii="Times New Roman"/>
          <w:b/>
          <w:sz w:val="24"/>
          <w:szCs w:val="24"/>
        </w:rPr>
        <w:t>Coordinating</w:t>
      </w:r>
      <w:r w:rsidR="00984CD4">
        <w:rPr>
          <w:rFonts w:ascii="Times New Roman"/>
          <w:b/>
          <w:sz w:val="24"/>
          <w:szCs w:val="24"/>
        </w:rPr>
        <w:t xml:space="preserve"> Committee: </w:t>
      </w:r>
      <w:r w:rsidR="004E5C02">
        <w:rPr>
          <w:rFonts w:ascii="Times New Roman"/>
          <w:b/>
          <w:sz w:val="24"/>
          <w:szCs w:val="24"/>
        </w:rPr>
        <w:t>April 25, 2022</w:t>
      </w:r>
    </w:p>
    <w:p w:rsidR="00BC01B3" w:rsidRDefault="00BC01B3">
      <w:pPr>
        <w:spacing w:before="2"/>
        <w:ind w:left="2617" w:right="2317"/>
        <w:jc w:val="center"/>
        <w:rPr>
          <w:rFonts w:ascii="Times New Roman"/>
          <w:b/>
          <w:sz w:val="32"/>
        </w:rPr>
      </w:pPr>
    </w:p>
    <w:p w:rsidR="00BC01B3" w:rsidRDefault="00BC01B3" w:rsidP="00B7435B">
      <w:pPr>
        <w:spacing w:before="151"/>
        <w:rPr>
          <w:rFonts w:ascii="Times New Roman"/>
          <w:b/>
          <w:sz w:val="32"/>
        </w:rPr>
      </w:pPr>
      <w:r w:rsidRPr="00BC01B3">
        <w:rPr>
          <w:rFonts w:ascii="Times New Roman"/>
          <w:b/>
          <w:sz w:val="24"/>
        </w:rPr>
        <w:t>Matter of Approval</w:t>
      </w:r>
      <w:r>
        <w:rPr>
          <w:rFonts w:ascii="Times New Roman"/>
          <w:sz w:val="24"/>
        </w:rPr>
        <w:t xml:space="preserve">:  </w:t>
      </w:r>
      <w:r w:rsidR="00D9252C">
        <w:rPr>
          <w:rFonts w:ascii="Times New Roman"/>
          <w:sz w:val="24"/>
        </w:rPr>
        <w:t xml:space="preserve">Prioritization of the </w:t>
      </w:r>
      <w:proofErr w:type="spellStart"/>
      <w:r w:rsidR="00D9252C">
        <w:rPr>
          <w:rFonts w:ascii="Times New Roman"/>
          <w:sz w:val="24"/>
        </w:rPr>
        <w:t>SFMPO</w:t>
      </w:r>
      <w:proofErr w:type="spellEnd"/>
      <w:r w:rsidR="00D9252C">
        <w:rPr>
          <w:rFonts w:ascii="Times New Roman"/>
          <w:sz w:val="24"/>
        </w:rPr>
        <w:t xml:space="preserve"> Transportation Project Fund applications.</w:t>
      </w:r>
    </w:p>
    <w:p w:rsidR="00BC01B3" w:rsidRDefault="00BC01B3" w:rsidP="0030769E">
      <w:pPr>
        <w:ind w:right="1216"/>
        <w:rPr>
          <w:rFonts w:ascii="Times New Roman"/>
          <w:b/>
          <w:sz w:val="24"/>
        </w:rPr>
      </w:pPr>
    </w:p>
    <w:p w:rsidR="008C6A64" w:rsidRDefault="00DF3693" w:rsidP="0030769E">
      <w:pPr>
        <w:ind w:right="121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Background: </w:t>
      </w:r>
    </w:p>
    <w:p w:rsidR="00D9252C" w:rsidRDefault="00D9252C" w:rsidP="000F5A66">
      <w:pPr>
        <w:spacing w:line="274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proofErr w:type="spellStart"/>
      <w:r>
        <w:rPr>
          <w:rFonts w:ascii="Times New Roman"/>
          <w:sz w:val="24"/>
        </w:rPr>
        <w:t>NMDOT</w:t>
      </w:r>
      <w:proofErr w:type="spellEnd"/>
      <w:r>
        <w:rPr>
          <w:rFonts w:ascii="Times New Roman"/>
          <w:sz w:val="24"/>
        </w:rPr>
        <w:t xml:space="preserve"> is soliciting applications from local and tribal governments for the FY23 Transportation Project Fund (</w:t>
      </w:r>
      <w:proofErr w:type="spellStart"/>
      <w:r>
        <w:rPr>
          <w:rFonts w:ascii="Times New Roman"/>
          <w:sz w:val="24"/>
        </w:rPr>
        <w:t>TPF</w:t>
      </w:r>
      <w:proofErr w:type="spellEnd"/>
      <w:r>
        <w:rPr>
          <w:rFonts w:ascii="Times New Roman"/>
          <w:sz w:val="24"/>
        </w:rPr>
        <w:t xml:space="preserve">). The application process is conducted via </w:t>
      </w:r>
      <w:proofErr w:type="spellStart"/>
      <w:r>
        <w:rPr>
          <w:rFonts w:ascii="Times New Roman"/>
          <w:sz w:val="24"/>
        </w:rPr>
        <w:t>MPOs</w:t>
      </w:r>
      <w:proofErr w:type="spellEnd"/>
      <w:r>
        <w:rPr>
          <w:rFonts w:ascii="Times New Roman"/>
          <w:sz w:val="24"/>
        </w:rPr>
        <w:t xml:space="preserve"> and </w:t>
      </w:r>
      <w:proofErr w:type="spellStart"/>
      <w:r>
        <w:rPr>
          <w:rFonts w:ascii="Times New Roman"/>
          <w:sz w:val="24"/>
        </w:rPr>
        <w:t>RTPOs</w:t>
      </w:r>
      <w:proofErr w:type="spellEnd"/>
      <w:r>
        <w:rPr>
          <w:rFonts w:ascii="Times New Roman"/>
          <w:sz w:val="24"/>
        </w:rPr>
        <w:t xml:space="preserve">. </w:t>
      </w:r>
      <w:r w:rsidRPr="00D9252C">
        <w:rPr>
          <w:rFonts w:ascii="Times New Roman"/>
          <w:sz w:val="24"/>
        </w:rPr>
        <w:t>Eligible projects are in the following categories: (1) environmental and other studies; (2) planning; (3) design; (4) construction; and (5) acquisition of rights of way</w:t>
      </w:r>
      <w:r>
        <w:rPr>
          <w:rFonts w:ascii="Times New Roman"/>
          <w:sz w:val="24"/>
        </w:rPr>
        <w:t>.</w:t>
      </w:r>
    </w:p>
    <w:p w:rsidR="00D9252C" w:rsidRDefault="00D9252C" w:rsidP="000F5A66">
      <w:pPr>
        <w:spacing w:line="274" w:lineRule="exact"/>
        <w:rPr>
          <w:rFonts w:ascii="Times New Roman"/>
          <w:sz w:val="24"/>
        </w:rPr>
      </w:pPr>
    </w:p>
    <w:p w:rsidR="00D9252C" w:rsidRDefault="00D9252C" w:rsidP="000F5A66">
      <w:pPr>
        <w:spacing w:line="274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proofErr w:type="spellStart"/>
      <w:r>
        <w:rPr>
          <w:rFonts w:ascii="Times New Roman"/>
          <w:sz w:val="24"/>
        </w:rPr>
        <w:t>SFMPO</w:t>
      </w:r>
      <w:proofErr w:type="spellEnd"/>
      <w:r>
        <w:rPr>
          <w:rFonts w:ascii="Times New Roman"/>
          <w:sz w:val="24"/>
        </w:rPr>
        <w:t xml:space="preserve"> is utilizing the following application timeline:</w:t>
      </w:r>
    </w:p>
    <w:p w:rsidR="00D9252C" w:rsidRDefault="00D9252C" w:rsidP="00D9252C">
      <w:pPr>
        <w:spacing w:line="274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Agencies</w:t>
      </w:r>
      <w:r w:rsidRPr="00D9252C">
        <w:rPr>
          <w:rFonts w:ascii="Times New Roman"/>
          <w:sz w:val="24"/>
        </w:rPr>
        <w:t xml:space="preserve"> submit </w:t>
      </w:r>
      <w:proofErr w:type="spellStart"/>
      <w:r w:rsidRPr="00D9252C">
        <w:rPr>
          <w:rFonts w:ascii="Times New Roman"/>
          <w:sz w:val="24"/>
        </w:rPr>
        <w:t>TPF</w:t>
      </w:r>
      <w:proofErr w:type="spellEnd"/>
      <w:r w:rsidRPr="00D9252C">
        <w:rPr>
          <w:rFonts w:ascii="Times New Roman"/>
          <w:sz w:val="24"/>
        </w:rPr>
        <w:t xml:space="preserve"> </w:t>
      </w:r>
      <w:proofErr w:type="spellStart"/>
      <w:r w:rsidRPr="00D9252C">
        <w:rPr>
          <w:rFonts w:ascii="Times New Roman"/>
          <w:sz w:val="24"/>
        </w:rPr>
        <w:t>PFFs</w:t>
      </w:r>
      <w:proofErr w:type="spellEnd"/>
      <w:r w:rsidRPr="00D9252C">
        <w:rPr>
          <w:rFonts w:ascii="Times New Roman"/>
          <w:sz w:val="24"/>
        </w:rPr>
        <w:t xml:space="preserve"> to the </w:t>
      </w:r>
      <w:proofErr w:type="spellStart"/>
      <w:r w:rsidRPr="00D9252C">
        <w:rPr>
          <w:rFonts w:ascii="Times New Roman"/>
          <w:sz w:val="24"/>
        </w:rPr>
        <w:t>SFMPO</w:t>
      </w:r>
      <w:proofErr w:type="spellEnd"/>
      <w:r w:rsidRPr="00D9252C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 w:rsidR="00107F25">
        <w:rPr>
          <w:rFonts w:ascii="Times New Roman"/>
          <w:sz w:val="24"/>
        </w:rPr>
        <w:tab/>
      </w:r>
      <w:r w:rsidR="00107F25">
        <w:rPr>
          <w:rFonts w:ascii="Times New Roman"/>
          <w:sz w:val="24"/>
        </w:rPr>
        <w:tab/>
      </w:r>
      <w:r w:rsidR="00D80B06">
        <w:rPr>
          <w:rFonts w:ascii="Times New Roman"/>
          <w:sz w:val="24"/>
        </w:rPr>
        <w:tab/>
      </w:r>
      <w:r>
        <w:rPr>
          <w:rFonts w:ascii="Times New Roman"/>
          <w:sz w:val="24"/>
        </w:rPr>
        <w:t>4/01/22</w:t>
      </w:r>
    </w:p>
    <w:p w:rsidR="00D9252C" w:rsidRDefault="00D9252C" w:rsidP="00D9252C">
      <w:pPr>
        <w:spacing w:line="274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M</w:t>
      </w:r>
      <w:r w:rsidRPr="00D9252C">
        <w:rPr>
          <w:rFonts w:ascii="Times New Roman"/>
          <w:sz w:val="24"/>
        </w:rPr>
        <w:t xml:space="preserve">eeting with </w:t>
      </w:r>
      <w:proofErr w:type="spellStart"/>
      <w:r w:rsidRPr="00D9252C">
        <w:rPr>
          <w:rFonts w:ascii="Times New Roman"/>
          <w:sz w:val="24"/>
        </w:rPr>
        <w:t>NMDOT</w:t>
      </w:r>
      <w:proofErr w:type="spellEnd"/>
      <w:r w:rsidRPr="00D9252C">
        <w:rPr>
          <w:rFonts w:ascii="Times New Roman"/>
          <w:sz w:val="24"/>
        </w:rPr>
        <w:t xml:space="preserve"> D5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 w:rsidR="00107F25">
        <w:rPr>
          <w:rFonts w:ascii="Times New Roman"/>
          <w:sz w:val="24"/>
        </w:rPr>
        <w:tab/>
      </w:r>
      <w:r w:rsidR="00107F25">
        <w:rPr>
          <w:rFonts w:ascii="Times New Roman"/>
          <w:sz w:val="24"/>
        </w:rPr>
        <w:tab/>
      </w:r>
      <w:r w:rsidR="00D80B06">
        <w:rPr>
          <w:rFonts w:ascii="Times New Roman"/>
          <w:sz w:val="24"/>
        </w:rPr>
        <w:tab/>
      </w:r>
      <w:r>
        <w:rPr>
          <w:rFonts w:ascii="Times New Roman"/>
          <w:sz w:val="24"/>
        </w:rPr>
        <w:t>4/18/22</w:t>
      </w:r>
    </w:p>
    <w:p w:rsidR="00D9252C" w:rsidRPr="00D9252C" w:rsidRDefault="00D9252C" w:rsidP="00D9252C">
      <w:pPr>
        <w:spacing w:line="274" w:lineRule="exact"/>
        <w:rPr>
          <w:rFonts w:ascii="Times New Roman"/>
          <w:sz w:val="24"/>
        </w:rPr>
      </w:pPr>
      <w:proofErr w:type="spellStart"/>
      <w:r w:rsidRPr="00107F25">
        <w:rPr>
          <w:rFonts w:ascii="Times New Roman"/>
          <w:sz w:val="24"/>
          <w:highlight w:val="yellow"/>
        </w:rPr>
        <w:t>TCC</w:t>
      </w:r>
      <w:proofErr w:type="spellEnd"/>
      <w:r w:rsidRPr="00107F25">
        <w:rPr>
          <w:rFonts w:ascii="Times New Roman"/>
          <w:sz w:val="24"/>
          <w:highlight w:val="yellow"/>
        </w:rPr>
        <w:t xml:space="preserve"> approves project rankings</w:t>
      </w:r>
      <w:r w:rsidRPr="00107F25">
        <w:rPr>
          <w:rFonts w:ascii="Times New Roman"/>
          <w:sz w:val="24"/>
          <w:highlight w:val="yellow"/>
        </w:rPr>
        <w:tab/>
      </w:r>
      <w:r w:rsidRPr="00107F25">
        <w:rPr>
          <w:rFonts w:ascii="Times New Roman"/>
          <w:sz w:val="24"/>
          <w:highlight w:val="yellow"/>
        </w:rPr>
        <w:tab/>
      </w:r>
      <w:r w:rsidRPr="00107F25">
        <w:rPr>
          <w:rFonts w:ascii="Times New Roman"/>
          <w:sz w:val="24"/>
          <w:highlight w:val="yellow"/>
        </w:rPr>
        <w:tab/>
      </w:r>
      <w:r w:rsidRPr="00107F25">
        <w:rPr>
          <w:rFonts w:ascii="Times New Roman"/>
          <w:sz w:val="24"/>
          <w:highlight w:val="yellow"/>
        </w:rPr>
        <w:tab/>
      </w:r>
      <w:r w:rsidR="00107F25" w:rsidRPr="00107F25">
        <w:rPr>
          <w:rFonts w:ascii="Times New Roman"/>
          <w:sz w:val="24"/>
          <w:highlight w:val="yellow"/>
        </w:rPr>
        <w:tab/>
      </w:r>
      <w:r w:rsidR="00107F25" w:rsidRPr="00107F25">
        <w:rPr>
          <w:rFonts w:ascii="Times New Roman"/>
          <w:sz w:val="24"/>
          <w:highlight w:val="yellow"/>
        </w:rPr>
        <w:tab/>
      </w:r>
      <w:r w:rsidR="00D80B06">
        <w:rPr>
          <w:rFonts w:ascii="Times New Roman"/>
          <w:sz w:val="24"/>
          <w:highlight w:val="yellow"/>
        </w:rPr>
        <w:tab/>
      </w:r>
      <w:r w:rsidRPr="00107F25">
        <w:rPr>
          <w:rFonts w:ascii="Times New Roman"/>
          <w:sz w:val="24"/>
          <w:highlight w:val="yellow"/>
        </w:rPr>
        <w:t>4/25/22</w:t>
      </w:r>
    </w:p>
    <w:p w:rsidR="00D9252C" w:rsidRPr="00D9252C" w:rsidRDefault="00D9252C" w:rsidP="00D9252C">
      <w:pPr>
        <w:spacing w:line="274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Agencies</w:t>
      </w:r>
      <w:r w:rsidRPr="00D9252C">
        <w:rPr>
          <w:rFonts w:ascii="Times New Roman"/>
          <w:sz w:val="24"/>
        </w:rPr>
        <w:t xml:space="preserve"> submit final applications to the </w:t>
      </w:r>
      <w:proofErr w:type="spellStart"/>
      <w:r w:rsidRPr="00D9252C">
        <w:rPr>
          <w:rFonts w:ascii="Times New Roman"/>
          <w:sz w:val="24"/>
        </w:rPr>
        <w:t>SFMPO</w:t>
      </w:r>
      <w:proofErr w:type="spellEnd"/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 w:rsidR="00107F25">
        <w:rPr>
          <w:rFonts w:ascii="Times New Roman"/>
          <w:sz w:val="24"/>
        </w:rPr>
        <w:tab/>
      </w:r>
      <w:r w:rsidR="00107F25">
        <w:rPr>
          <w:rFonts w:ascii="Times New Roman"/>
          <w:sz w:val="24"/>
        </w:rPr>
        <w:tab/>
      </w:r>
      <w:r w:rsidR="00D80B06">
        <w:rPr>
          <w:rFonts w:ascii="Times New Roman"/>
          <w:sz w:val="24"/>
        </w:rPr>
        <w:tab/>
      </w:r>
      <w:r w:rsidR="00107F25">
        <w:rPr>
          <w:rFonts w:ascii="Times New Roman"/>
          <w:sz w:val="24"/>
        </w:rPr>
        <w:t>5/23/22</w:t>
      </w:r>
    </w:p>
    <w:p w:rsidR="00B46001" w:rsidRDefault="00D9252C" w:rsidP="00D9252C">
      <w:pPr>
        <w:spacing w:line="274" w:lineRule="exact"/>
        <w:rPr>
          <w:rFonts w:ascii="Times New Roman"/>
          <w:sz w:val="24"/>
        </w:rPr>
      </w:pPr>
      <w:proofErr w:type="spellStart"/>
      <w:r w:rsidRPr="00D9252C">
        <w:rPr>
          <w:rFonts w:ascii="Times New Roman"/>
          <w:sz w:val="24"/>
        </w:rPr>
        <w:t>SFMPO</w:t>
      </w:r>
      <w:proofErr w:type="spellEnd"/>
      <w:r w:rsidRPr="00D9252C">
        <w:rPr>
          <w:rFonts w:ascii="Times New Roman"/>
          <w:sz w:val="24"/>
        </w:rPr>
        <w:t xml:space="preserve"> submits all applications to the </w:t>
      </w:r>
      <w:proofErr w:type="spellStart"/>
      <w:r w:rsidRPr="00D9252C">
        <w:rPr>
          <w:rFonts w:ascii="Times New Roman"/>
          <w:sz w:val="24"/>
        </w:rPr>
        <w:t>NMDOT</w:t>
      </w:r>
      <w:proofErr w:type="spellEnd"/>
      <w:r w:rsidR="00107F25">
        <w:rPr>
          <w:rFonts w:ascii="Times New Roman"/>
          <w:sz w:val="24"/>
        </w:rPr>
        <w:tab/>
      </w:r>
      <w:r w:rsidR="00107F25">
        <w:rPr>
          <w:rFonts w:ascii="Times New Roman"/>
          <w:sz w:val="24"/>
        </w:rPr>
        <w:tab/>
      </w:r>
      <w:r w:rsidR="00107F25">
        <w:rPr>
          <w:rFonts w:ascii="Times New Roman"/>
          <w:sz w:val="24"/>
        </w:rPr>
        <w:tab/>
      </w:r>
      <w:r w:rsidR="00107F25">
        <w:rPr>
          <w:rFonts w:ascii="Times New Roman"/>
          <w:sz w:val="24"/>
        </w:rPr>
        <w:tab/>
      </w:r>
      <w:r w:rsidR="00D80B06">
        <w:rPr>
          <w:rFonts w:ascii="Times New Roman"/>
          <w:sz w:val="24"/>
        </w:rPr>
        <w:tab/>
      </w:r>
      <w:r w:rsidR="00107F25">
        <w:rPr>
          <w:rFonts w:ascii="Times New Roman"/>
          <w:sz w:val="24"/>
        </w:rPr>
        <w:t>5/31/22</w:t>
      </w:r>
    </w:p>
    <w:p w:rsidR="00B46001" w:rsidRDefault="00B46001" w:rsidP="00B46001">
      <w:pPr>
        <w:spacing w:line="274" w:lineRule="exact"/>
        <w:rPr>
          <w:rFonts w:ascii="Times New Roman"/>
          <w:sz w:val="24"/>
        </w:rPr>
      </w:pPr>
    </w:p>
    <w:p w:rsidR="00B46001" w:rsidRDefault="00B46001" w:rsidP="00B46001">
      <w:pPr>
        <w:spacing w:line="274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 w:rsidR="00107F25">
        <w:rPr>
          <w:rFonts w:ascii="Times New Roman"/>
          <w:sz w:val="24"/>
        </w:rPr>
        <w:t xml:space="preserve"> received </w:t>
      </w:r>
      <w:proofErr w:type="spellStart"/>
      <w:r w:rsidR="00107F25">
        <w:rPr>
          <w:rFonts w:ascii="Times New Roman"/>
          <w:sz w:val="24"/>
        </w:rPr>
        <w:t>TPF</w:t>
      </w:r>
      <w:proofErr w:type="spellEnd"/>
      <w:r>
        <w:rPr>
          <w:rFonts w:ascii="Times New Roman"/>
          <w:sz w:val="24"/>
        </w:rPr>
        <w:t xml:space="preserve"> </w:t>
      </w:r>
      <w:r w:rsidR="00107F25">
        <w:rPr>
          <w:rFonts w:ascii="Times New Roman"/>
          <w:sz w:val="24"/>
        </w:rPr>
        <w:t>applications</w:t>
      </w:r>
      <w:r>
        <w:rPr>
          <w:rFonts w:ascii="Times New Roman"/>
          <w:sz w:val="24"/>
        </w:rPr>
        <w:t xml:space="preserve"> are:</w:t>
      </w:r>
    </w:p>
    <w:tbl>
      <w:tblPr>
        <w:tblStyle w:val="TableGrid"/>
        <w:tblW w:w="0" w:type="auto"/>
        <w:tblLayout w:type="fixed"/>
        <w:tblLook w:val="00BF"/>
      </w:tblPr>
      <w:tblGrid>
        <w:gridCol w:w="1006"/>
        <w:gridCol w:w="1066"/>
        <w:gridCol w:w="5596"/>
        <w:gridCol w:w="1620"/>
      </w:tblGrid>
      <w:tr w:rsidR="00107F25" w:rsidRPr="00B46001">
        <w:tc>
          <w:tcPr>
            <w:tcW w:w="1006" w:type="dxa"/>
          </w:tcPr>
          <w:p w:rsidR="00107F25" w:rsidRPr="00B46001" w:rsidRDefault="00107F25" w:rsidP="00B46001">
            <w:pPr>
              <w:rPr>
                <w:rFonts w:ascii="Times New Roman" w:hAnsi="Times New Roman" w:cs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theme="minorHAnsi"/>
                <w:sz w:val="22"/>
                <w:szCs w:val="22"/>
              </w:rPr>
              <w:t>MTP</w:t>
            </w:r>
            <w:proofErr w:type="spellEnd"/>
            <w:r>
              <w:rPr>
                <w:rFonts w:ascii="Times New Roman" w:hAnsi="Times New Roman" w:cstheme="minorHAnsi"/>
                <w:sz w:val="22"/>
                <w:szCs w:val="22"/>
              </w:rPr>
              <w:t xml:space="preserve"> Rank</w:t>
            </w:r>
          </w:p>
        </w:tc>
        <w:tc>
          <w:tcPr>
            <w:tcW w:w="1066" w:type="dxa"/>
          </w:tcPr>
          <w:p w:rsidR="00107F25" w:rsidRPr="00B46001" w:rsidRDefault="00107F25" w:rsidP="00B46001">
            <w:pPr>
              <w:rPr>
                <w:rFonts w:ascii="Times New Roman" w:hAnsi="Times New Roman" w:cstheme="minorHAnsi"/>
                <w:sz w:val="22"/>
                <w:szCs w:val="22"/>
              </w:rPr>
            </w:pPr>
            <w:r w:rsidRPr="00B46001">
              <w:rPr>
                <w:rFonts w:ascii="Times New Roman" w:hAnsi="Times New Roman" w:cstheme="minorHAnsi"/>
                <w:sz w:val="22"/>
                <w:szCs w:val="22"/>
              </w:rPr>
              <w:t>Agency</w:t>
            </w:r>
          </w:p>
        </w:tc>
        <w:tc>
          <w:tcPr>
            <w:tcW w:w="5596" w:type="dxa"/>
          </w:tcPr>
          <w:p w:rsidR="00107F25" w:rsidRPr="00B46001" w:rsidRDefault="00107F25" w:rsidP="00B46001">
            <w:pPr>
              <w:rPr>
                <w:rFonts w:ascii="Times New Roman" w:hAnsi="Times New Roman" w:cstheme="minorHAnsi"/>
                <w:sz w:val="22"/>
                <w:szCs w:val="22"/>
              </w:rPr>
            </w:pPr>
            <w:r>
              <w:rPr>
                <w:rFonts w:ascii="Times New Roman" w:hAnsi="Times New Roman" w:cstheme="minorHAnsi"/>
                <w:sz w:val="22"/>
                <w:szCs w:val="22"/>
              </w:rPr>
              <w:t>Project Name</w:t>
            </w:r>
          </w:p>
        </w:tc>
        <w:tc>
          <w:tcPr>
            <w:tcW w:w="1620" w:type="dxa"/>
          </w:tcPr>
          <w:p w:rsidR="00107F25" w:rsidRPr="00B46001" w:rsidRDefault="00107F25" w:rsidP="00B46001">
            <w:pPr>
              <w:rPr>
                <w:rFonts w:ascii="Times New Roman" w:hAnsi="Times New Roman" w:cstheme="minorHAnsi"/>
                <w:sz w:val="22"/>
                <w:szCs w:val="22"/>
              </w:rPr>
            </w:pPr>
            <w:r>
              <w:rPr>
                <w:rFonts w:ascii="Times New Roman" w:hAnsi="Times New Roman" w:cstheme="minorHAnsi"/>
                <w:sz w:val="22"/>
                <w:szCs w:val="22"/>
              </w:rPr>
              <w:t>Amount Requested</w:t>
            </w:r>
          </w:p>
        </w:tc>
      </w:tr>
      <w:tr w:rsidR="00D80B06" w:rsidRPr="00B46001">
        <w:tc>
          <w:tcPr>
            <w:tcW w:w="100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City of Santa Fe</w:t>
            </w:r>
          </w:p>
        </w:tc>
        <w:tc>
          <w:tcPr>
            <w:tcW w:w="559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Sandoval/Montezuma Intersection Improvements: Pedestrian improvements, striping, signage</w:t>
            </w:r>
          </w:p>
        </w:tc>
        <w:tc>
          <w:tcPr>
            <w:tcW w:w="1620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$950,000</w:t>
            </w:r>
          </w:p>
        </w:tc>
      </w:tr>
      <w:tr w:rsidR="00D80B06" w:rsidRPr="00B46001">
        <w:tc>
          <w:tcPr>
            <w:tcW w:w="100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6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City of Santa Fe</w:t>
            </w:r>
          </w:p>
        </w:tc>
        <w:tc>
          <w:tcPr>
            <w:tcW w:w="559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Governor Miles Road Reconstruction: Reconstruct roadway from Richards Avenue to Pueblos del sol and add bike lanes, curb and gutter, sidewalk</w:t>
            </w:r>
          </w:p>
        </w:tc>
        <w:tc>
          <w:tcPr>
            <w:tcW w:w="1620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$950,000</w:t>
            </w:r>
          </w:p>
        </w:tc>
      </w:tr>
      <w:tr w:rsidR="00D80B06" w:rsidRPr="00B46001">
        <w:tc>
          <w:tcPr>
            <w:tcW w:w="1006" w:type="dxa"/>
            <w:vAlign w:val="center"/>
          </w:tcPr>
          <w:p w:rsidR="00D80B06" w:rsidRPr="00107F25" w:rsidRDefault="00D80B06">
            <w:pPr>
              <w:jc w:val="center"/>
              <w:rPr>
                <w:rFonts w:ascii="Times" w:hAnsi="Times"/>
                <w:color w:val="000000"/>
                <w:sz w:val="22"/>
              </w:rPr>
            </w:pPr>
            <w:r w:rsidRPr="00107F25">
              <w:rPr>
                <w:rFonts w:ascii="Times" w:hAnsi="Times"/>
                <w:color w:val="000000"/>
                <w:sz w:val="22"/>
              </w:rPr>
              <w:t>NR</w:t>
            </w:r>
          </w:p>
        </w:tc>
        <w:tc>
          <w:tcPr>
            <w:tcW w:w="106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Santa Fe County</w:t>
            </w:r>
          </w:p>
        </w:tc>
        <w:tc>
          <w:tcPr>
            <w:tcW w:w="559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 xml:space="preserve">Los </w:t>
            </w:r>
            <w:proofErr w:type="spellStart"/>
            <w:r w:rsidRPr="00107F25">
              <w:rPr>
                <w:rFonts w:ascii="Times" w:hAnsi="Times"/>
                <w:color w:val="000000"/>
                <w:sz w:val="22"/>
                <w:szCs w:val="22"/>
              </w:rPr>
              <w:t>Pinos</w:t>
            </w:r>
            <w:proofErr w:type="spellEnd"/>
            <w:r w:rsidRPr="00107F25">
              <w:rPr>
                <w:rFonts w:ascii="Times" w:hAnsi="Times"/>
                <w:color w:val="000000"/>
                <w:sz w:val="22"/>
                <w:szCs w:val="22"/>
              </w:rPr>
              <w:t xml:space="preserve"> Road Bridge</w:t>
            </w:r>
          </w:p>
        </w:tc>
        <w:tc>
          <w:tcPr>
            <w:tcW w:w="1620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$1,900,000</w:t>
            </w:r>
          </w:p>
        </w:tc>
      </w:tr>
      <w:tr w:rsidR="00D80B06" w:rsidRPr="00B46001">
        <w:trPr>
          <w:trHeight w:val="476"/>
        </w:trPr>
        <w:tc>
          <w:tcPr>
            <w:tcW w:w="100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Santa Fe County</w:t>
            </w:r>
          </w:p>
        </w:tc>
        <w:tc>
          <w:tcPr>
            <w:tcW w:w="559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S100122 - South/East Connector: ROW acquisition, design, and construction of a new roadway</w:t>
            </w:r>
          </w:p>
        </w:tc>
        <w:tc>
          <w:tcPr>
            <w:tcW w:w="1620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$4,465,000</w:t>
            </w:r>
          </w:p>
        </w:tc>
      </w:tr>
      <w:tr w:rsidR="00D80B06" w:rsidRPr="00B46001">
        <w:tc>
          <w:tcPr>
            <w:tcW w:w="100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06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City of Santa Fe</w:t>
            </w:r>
          </w:p>
        </w:tc>
        <w:tc>
          <w:tcPr>
            <w:tcW w:w="559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 xml:space="preserve">Arroyo del los </w:t>
            </w:r>
            <w:proofErr w:type="spellStart"/>
            <w:r w:rsidRPr="00107F25">
              <w:rPr>
                <w:rFonts w:ascii="Times" w:hAnsi="Times"/>
                <w:color w:val="000000"/>
                <w:sz w:val="22"/>
                <w:szCs w:val="22"/>
              </w:rPr>
              <w:t>Chamisos</w:t>
            </w:r>
            <w:proofErr w:type="spellEnd"/>
            <w:r w:rsidRPr="00107F25">
              <w:rPr>
                <w:rFonts w:ascii="Times" w:hAnsi="Times"/>
                <w:color w:val="000000"/>
                <w:sz w:val="22"/>
                <w:szCs w:val="22"/>
              </w:rPr>
              <w:t xml:space="preserve"> Crossing</w:t>
            </w:r>
          </w:p>
        </w:tc>
        <w:tc>
          <w:tcPr>
            <w:tcW w:w="1620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$1,900,000</w:t>
            </w:r>
          </w:p>
        </w:tc>
      </w:tr>
      <w:tr w:rsidR="00D80B06" w:rsidRPr="00B46001">
        <w:tc>
          <w:tcPr>
            <w:tcW w:w="100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6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Santa Fe County</w:t>
            </w:r>
          </w:p>
        </w:tc>
        <w:tc>
          <w:tcPr>
            <w:tcW w:w="5596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 w:rsidRPr="00107F25">
              <w:rPr>
                <w:rFonts w:ascii="Times" w:hAnsi="Times"/>
                <w:color w:val="000000"/>
                <w:sz w:val="22"/>
                <w:szCs w:val="22"/>
              </w:rPr>
              <w:t>Avenida</w:t>
            </w:r>
            <w:proofErr w:type="spellEnd"/>
            <w:r w:rsidRPr="00107F25">
              <w:rPr>
                <w:rFonts w:ascii="Times" w:hAnsi="Times"/>
                <w:color w:val="000000"/>
                <w:sz w:val="22"/>
                <w:szCs w:val="22"/>
              </w:rPr>
              <w:t xml:space="preserve"> Del Sur Extension: Construct a new road and upgrade existing roadway from NM14 to A Van Nu Po</w:t>
            </w:r>
          </w:p>
        </w:tc>
        <w:tc>
          <w:tcPr>
            <w:tcW w:w="1620" w:type="dxa"/>
            <w:vAlign w:val="center"/>
          </w:tcPr>
          <w:p w:rsidR="00D80B06" w:rsidRPr="00107F25" w:rsidRDefault="00D80B06">
            <w:pPr>
              <w:widowControl w:val="0"/>
              <w:autoSpaceDE w:val="0"/>
              <w:autoSpaceDN w:val="0"/>
              <w:jc w:val="center"/>
              <w:rPr>
                <w:rFonts w:ascii="Times" w:hAnsi="Times"/>
                <w:color w:val="000000"/>
                <w:sz w:val="22"/>
                <w:szCs w:val="22"/>
              </w:rPr>
            </w:pPr>
            <w:r w:rsidRPr="00107F25">
              <w:rPr>
                <w:rFonts w:ascii="Times" w:hAnsi="Times"/>
                <w:color w:val="000000"/>
                <w:sz w:val="22"/>
                <w:szCs w:val="22"/>
              </w:rPr>
              <w:t>$2,375,000</w:t>
            </w:r>
          </w:p>
        </w:tc>
      </w:tr>
      <w:tr w:rsidR="00D80B06" w:rsidRPr="00B46001">
        <w:trPr>
          <w:trHeight w:val="377"/>
        </w:trPr>
        <w:tc>
          <w:tcPr>
            <w:tcW w:w="1006" w:type="dxa"/>
            <w:vAlign w:val="center"/>
          </w:tcPr>
          <w:p w:rsidR="00D80B06" w:rsidRPr="00107F25" w:rsidRDefault="00D80B06">
            <w:pPr>
              <w:jc w:val="center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Total</w:t>
            </w:r>
          </w:p>
        </w:tc>
        <w:tc>
          <w:tcPr>
            <w:tcW w:w="6662" w:type="dxa"/>
            <w:gridSpan w:val="2"/>
            <w:vAlign w:val="center"/>
          </w:tcPr>
          <w:p w:rsidR="00D80B06" w:rsidRPr="00107F25" w:rsidRDefault="00D80B06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D80B06" w:rsidRPr="00107F25" w:rsidRDefault="00D80B06">
            <w:pPr>
              <w:jc w:val="center"/>
              <w:rPr>
                <w:rFonts w:ascii="Times" w:hAnsi="Times"/>
                <w:color w:val="000000"/>
              </w:rPr>
            </w:pPr>
            <w:r w:rsidRPr="00107F25">
              <w:rPr>
                <w:rFonts w:ascii="Times" w:hAnsi="Times"/>
                <w:color w:val="000000"/>
              </w:rPr>
              <w:t>$12,540,000</w:t>
            </w:r>
          </w:p>
        </w:tc>
      </w:tr>
    </w:tbl>
    <w:p w:rsidR="00D80B06" w:rsidRDefault="00D80B06" w:rsidP="00B46001">
      <w:pPr>
        <w:spacing w:line="274" w:lineRule="exact"/>
        <w:rPr>
          <w:rFonts w:ascii="Times New Roman"/>
          <w:sz w:val="24"/>
        </w:rPr>
      </w:pPr>
    </w:p>
    <w:p w:rsidR="00015B1C" w:rsidRPr="00015B1C" w:rsidRDefault="00015B1C" w:rsidP="00015B1C">
      <w:pPr>
        <w:pStyle w:val="NormalWeb"/>
        <w:spacing w:before="2" w:after="2"/>
        <w:rPr>
          <w:sz w:val="24"/>
        </w:rPr>
      </w:pPr>
      <w:r w:rsidRPr="00015B1C"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z w:val="24"/>
        </w:rPr>
        <w:t>ject p</w:t>
      </w:r>
      <w:r w:rsidRPr="00015B1C">
        <w:rPr>
          <w:rFonts w:ascii="Times New Roman" w:hAnsi="Times New Roman"/>
          <w:sz w:val="24"/>
        </w:rPr>
        <w:t xml:space="preserve">rioritization </w:t>
      </w:r>
      <w:r>
        <w:rPr>
          <w:rFonts w:ascii="Times New Roman" w:hAnsi="Times New Roman"/>
          <w:sz w:val="24"/>
        </w:rPr>
        <w:t>c</w:t>
      </w:r>
      <w:r w:rsidRPr="00015B1C">
        <w:rPr>
          <w:rFonts w:ascii="Times New Roman" w:hAnsi="Times New Roman"/>
          <w:sz w:val="24"/>
        </w:rPr>
        <w:t>riteria</w:t>
      </w:r>
      <w:r>
        <w:rPr>
          <w:rFonts w:ascii="Times New Roman" w:hAnsi="Times New Roman"/>
          <w:sz w:val="24"/>
        </w:rPr>
        <w:t xml:space="preserve"> provided by the </w:t>
      </w:r>
      <w:proofErr w:type="spellStart"/>
      <w:r>
        <w:rPr>
          <w:rFonts w:ascii="Times New Roman" w:hAnsi="Times New Roman"/>
          <w:sz w:val="24"/>
        </w:rPr>
        <w:t>NMDOT</w:t>
      </w:r>
      <w:proofErr w:type="spellEnd"/>
      <w:r w:rsidRPr="00015B1C">
        <w:rPr>
          <w:rFonts w:ascii="Times New Roman" w:hAnsi="Times New Roman"/>
          <w:sz w:val="24"/>
        </w:rPr>
        <w:t xml:space="preserve">: </w:t>
      </w:r>
    </w:p>
    <w:p w:rsidR="00015B1C" w:rsidRPr="00015B1C" w:rsidRDefault="00015B1C" w:rsidP="00015B1C">
      <w:pPr>
        <w:pStyle w:val="NormalWeb"/>
        <w:numPr>
          <w:ilvl w:val="0"/>
          <w:numId w:val="17"/>
        </w:numPr>
        <w:spacing w:before="2" w:after="2"/>
        <w:rPr>
          <w:rFonts w:ascii="Times New Roman" w:hAnsi="Times New Roman"/>
          <w:sz w:val="24"/>
        </w:rPr>
      </w:pPr>
      <w:r w:rsidRPr="00015B1C">
        <w:rPr>
          <w:rFonts w:ascii="Times New Roman" w:hAnsi="Times New Roman"/>
          <w:sz w:val="24"/>
        </w:rPr>
        <w:t xml:space="preserve">Planning: Is this project identified as a priority on a local or regional planning or </w:t>
      </w:r>
    </w:p>
    <w:p w:rsidR="00015B1C" w:rsidRPr="00015B1C" w:rsidRDefault="00015B1C" w:rsidP="00015B1C">
      <w:pPr>
        <w:pStyle w:val="NormalWeb"/>
        <w:spacing w:before="2" w:after="2"/>
        <w:ind w:left="720"/>
        <w:rPr>
          <w:rFonts w:ascii="Times New Roman" w:hAnsi="Times New Roman"/>
          <w:sz w:val="24"/>
        </w:rPr>
      </w:pPr>
      <w:proofErr w:type="gramStart"/>
      <w:r w:rsidRPr="00015B1C">
        <w:rPr>
          <w:rFonts w:ascii="Times New Roman" w:hAnsi="Times New Roman"/>
          <w:sz w:val="24"/>
        </w:rPr>
        <w:t>programming</w:t>
      </w:r>
      <w:proofErr w:type="gramEnd"/>
      <w:r w:rsidRPr="00015B1C">
        <w:rPr>
          <w:rFonts w:ascii="Times New Roman" w:hAnsi="Times New Roman"/>
          <w:sz w:val="24"/>
        </w:rPr>
        <w:t xml:space="preserve"> document? Is this project consistent with local or regional plans? </w:t>
      </w:r>
    </w:p>
    <w:p w:rsidR="00015B1C" w:rsidRPr="00015B1C" w:rsidRDefault="00015B1C" w:rsidP="00015B1C">
      <w:pPr>
        <w:pStyle w:val="NormalWeb"/>
        <w:numPr>
          <w:ilvl w:val="0"/>
          <w:numId w:val="17"/>
        </w:numPr>
        <w:spacing w:before="2" w:after="2"/>
        <w:rPr>
          <w:rFonts w:ascii="Times New Roman" w:hAnsi="Times New Roman"/>
          <w:sz w:val="24"/>
        </w:rPr>
      </w:pPr>
      <w:r w:rsidRPr="00015B1C">
        <w:rPr>
          <w:rFonts w:ascii="Times New Roman" w:hAnsi="Times New Roman"/>
          <w:sz w:val="24"/>
        </w:rPr>
        <w:t xml:space="preserve">Project readiness: If awarded, will the applicant be able to start spending the money within 3 months from receiving the fully executed project agreement? </w:t>
      </w:r>
    </w:p>
    <w:p w:rsidR="00015B1C" w:rsidRPr="00015B1C" w:rsidRDefault="00015B1C" w:rsidP="00015B1C">
      <w:pPr>
        <w:pStyle w:val="NormalWeb"/>
        <w:numPr>
          <w:ilvl w:val="0"/>
          <w:numId w:val="17"/>
        </w:numPr>
        <w:spacing w:before="2" w:after="2"/>
        <w:rPr>
          <w:rFonts w:ascii="Times New Roman" w:hAnsi="Times New Roman"/>
          <w:sz w:val="24"/>
        </w:rPr>
      </w:pPr>
      <w:r w:rsidRPr="00015B1C">
        <w:rPr>
          <w:rFonts w:ascii="Times New Roman" w:hAnsi="Times New Roman"/>
          <w:sz w:val="24"/>
        </w:rPr>
        <w:t xml:space="preserve">Priority Bridge: Is this project addressing a bridge on the </w:t>
      </w:r>
      <w:proofErr w:type="spellStart"/>
      <w:r w:rsidRPr="00015B1C">
        <w:rPr>
          <w:rFonts w:ascii="Times New Roman" w:hAnsi="Times New Roman"/>
          <w:sz w:val="24"/>
        </w:rPr>
        <w:t>NMDOT’s</w:t>
      </w:r>
      <w:proofErr w:type="spellEnd"/>
      <w:r w:rsidRPr="00015B1C">
        <w:rPr>
          <w:rFonts w:ascii="Times New Roman" w:hAnsi="Times New Roman"/>
          <w:sz w:val="24"/>
        </w:rPr>
        <w:t xml:space="preserve"> Local Bridge Priority List for Replacement / Rehabilitation? </w:t>
      </w:r>
    </w:p>
    <w:p w:rsidR="00015B1C" w:rsidRPr="00015B1C" w:rsidRDefault="00015B1C" w:rsidP="00015B1C">
      <w:pPr>
        <w:pStyle w:val="NormalWeb"/>
        <w:numPr>
          <w:ilvl w:val="0"/>
          <w:numId w:val="17"/>
        </w:numPr>
        <w:spacing w:before="2" w:after="2"/>
        <w:rPr>
          <w:rFonts w:ascii="Times New Roman" w:hAnsi="Times New Roman"/>
          <w:sz w:val="24"/>
        </w:rPr>
      </w:pPr>
      <w:r w:rsidRPr="00015B1C">
        <w:rPr>
          <w:rFonts w:ascii="Times New Roman" w:hAnsi="Times New Roman"/>
          <w:sz w:val="24"/>
        </w:rPr>
        <w:t xml:space="preserve">Phasing: </w:t>
      </w:r>
    </w:p>
    <w:p w:rsidR="00015B1C" w:rsidRPr="00015B1C" w:rsidRDefault="00015B1C" w:rsidP="00015B1C">
      <w:pPr>
        <w:pStyle w:val="NormalWeb"/>
        <w:numPr>
          <w:ilvl w:val="1"/>
          <w:numId w:val="17"/>
        </w:numPr>
        <w:spacing w:before="2" w:after="2"/>
        <w:rPr>
          <w:rFonts w:ascii="Times New Roman" w:hAnsi="Times New Roman"/>
          <w:sz w:val="24"/>
        </w:rPr>
      </w:pPr>
      <w:r w:rsidRPr="00015B1C">
        <w:rPr>
          <w:rFonts w:ascii="Times New Roman" w:hAnsi="Times New Roman"/>
          <w:sz w:val="24"/>
        </w:rPr>
        <w:t xml:space="preserve">Is this project part of a phased project previously funded with other state funds (e.g. Local Government Road Fund, Municipal Arterial Program, Capital Outlay, State Road Fund etc.)? </w:t>
      </w:r>
    </w:p>
    <w:p w:rsidR="00015B1C" w:rsidRPr="00015B1C" w:rsidRDefault="00015B1C" w:rsidP="00015B1C">
      <w:pPr>
        <w:pStyle w:val="NormalWeb"/>
        <w:numPr>
          <w:ilvl w:val="1"/>
          <w:numId w:val="17"/>
        </w:numPr>
        <w:spacing w:before="2" w:after="2"/>
        <w:rPr>
          <w:rFonts w:ascii="Times New Roman" w:hAnsi="Times New Roman"/>
          <w:sz w:val="24"/>
        </w:rPr>
      </w:pPr>
      <w:r w:rsidRPr="00015B1C">
        <w:rPr>
          <w:rFonts w:ascii="Times New Roman" w:hAnsi="Times New Roman"/>
          <w:sz w:val="24"/>
        </w:rPr>
        <w:t xml:space="preserve">Is this project part of a phased project previously funded with </w:t>
      </w:r>
      <w:proofErr w:type="spellStart"/>
      <w:r w:rsidRPr="00015B1C">
        <w:rPr>
          <w:rFonts w:ascii="Times New Roman" w:hAnsi="Times New Roman"/>
          <w:sz w:val="24"/>
        </w:rPr>
        <w:t>TPF</w:t>
      </w:r>
      <w:proofErr w:type="spellEnd"/>
      <w:r w:rsidRPr="00015B1C">
        <w:rPr>
          <w:rFonts w:ascii="Times New Roman" w:hAnsi="Times New Roman"/>
          <w:sz w:val="24"/>
        </w:rPr>
        <w:t xml:space="preserve">? If so, what year? </w:t>
      </w:r>
    </w:p>
    <w:p w:rsidR="00015B1C" w:rsidRPr="00015B1C" w:rsidRDefault="00015B1C" w:rsidP="00015B1C">
      <w:pPr>
        <w:pStyle w:val="NormalWeb"/>
        <w:numPr>
          <w:ilvl w:val="0"/>
          <w:numId w:val="17"/>
        </w:numPr>
        <w:spacing w:before="2" w:after="2"/>
        <w:rPr>
          <w:rFonts w:ascii="Times New Roman" w:hAnsi="Times New Roman"/>
          <w:sz w:val="24"/>
        </w:rPr>
      </w:pPr>
      <w:r w:rsidRPr="00015B1C">
        <w:rPr>
          <w:rFonts w:ascii="Times New Roman" w:hAnsi="Times New Roman"/>
          <w:sz w:val="24"/>
        </w:rPr>
        <w:t xml:space="preserve">Additional criteria identified by the </w:t>
      </w:r>
      <w:proofErr w:type="spellStart"/>
      <w:r w:rsidRPr="00015B1C">
        <w:rPr>
          <w:rFonts w:ascii="Times New Roman" w:hAnsi="Times New Roman"/>
          <w:sz w:val="24"/>
        </w:rPr>
        <w:t>MPO</w:t>
      </w:r>
      <w:proofErr w:type="spellEnd"/>
      <w:r w:rsidRPr="00015B1C">
        <w:rPr>
          <w:rFonts w:ascii="Times New Roman" w:hAnsi="Times New Roman"/>
          <w:sz w:val="24"/>
        </w:rPr>
        <w:t xml:space="preserve"> or </w:t>
      </w:r>
      <w:proofErr w:type="spellStart"/>
      <w:r w:rsidRPr="00015B1C">
        <w:rPr>
          <w:rFonts w:ascii="Times New Roman" w:hAnsi="Times New Roman"/>
          <w:sz w:val="24"/>
        </w:rPr>
        <w:t>RTPO</w:t>
      </w:r>
      <w:proofErr w:type="spellEnd"/>
      <w:r w:rsidRPr="00015B1C">
        <w:rPr>
          <w:rFonts w:ascii="Times New Roman" w:hAnsi="Times New Roman"/>
          <w:sz w:val="24"/>
        </w:rPr>
        <w:t xml:space="preserve"> </w:t>
      </w:r>
    </w:p>
    <w:p w:rsidR="008C6A64" w:rsidRPr="00015B1C" w:rsidRDefault="008C6A64" w:rsidP="00B46001">
      <w:pPr>
        <w:spacing w:line="274" w:lineRule="exact"/>
        <w:rPr>
          <w:rFonts w:ascii="Times New Roman"/>
          <w:sz w:val="24"/>
        </w:rPr>
      </w:pPr>
    </w:p>
    <w:sectPr w:rsidR="008C6A64" w:rsidRPr="00015B1C" w:rsidSect="00984CD4">
      <w:pgSz w:w="12240" w:h="15840"/>
      <w:pgMar w:top="1440" w:right="1440" w:bottom="900" w:left="1440" w:gutter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D39"/>
    <w:multiLevelType w:val="hybridMultilevel"/>
    <w:tmpl w:val="E998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2800"/>
    <w:multiLevelType w:val="multilevel"/>
    <w:tmpl w:val="DEA27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143B4FE5"/>
    <w:multiLevelType w:val="hybridMultilevel"/>
    <w:tmpl w:val="9E1C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4F87"/>
    <w:multiLevelType w:val="hybridMultilevel"/>
    <w:tmpl w:val="F3E2AA34"/>
    <w:lvl w:ilvl="0" w:tplc="0B2AA4CA">
      <w:start w:val="1"/>
      <w:numFmt w:val="decimal"/>
      <w:lvlText w:val="%1."/>
      <w:lvlJc w:val="left"/>
      <w:pPr>
        <w:ind w:left="991" w:hanging="361"/>
      </w:pPr>
      <w:rPr>
        <w:rFonts w:ascii="Calibri" w:eastAsia="Calibri" w:hAnsi="Calibri" w:cs="Tahoma" w:hint="default"/>
        <w:b/>
        <w:w w:val="100"/>
        <w:sz w:val="22"/>
        <w:szCs w:val="22"/>
        <w:lang w:val="en-US" w:eastAsia="en-US" w:bidi="en-US"/>
      </w:rPr>
    </w:lvl>
    <w:lvl w:ilvl="1" w:tplc="ECEEFC4C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en-US"/>
      </w:rPr>
    </w:lvl>
    <w:lvl w:ilvl="2" w:tplc="743CAE3A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en-US"/>
      </w:rPr>
    </w:lvl>
    <w:lvl w:ilvl="3" w:tplc="78A02C84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en-US"/>
      </w:rPr>
    </w:lvl>
    <w:lvl w:ilvl="4" w:tplc="1EECC14C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en-US"/>
      </w:rPr>
    </w:lvl>
    <w:lvl w:ilvl="5" w:tplc="22C0A2D0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en-US"/>
      </w:rPr>
    </w:lvl>
    <w:lvl w:ilvl="6" w:tplc="990CE2D0"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en-US"/>
      </w:rPr>
    </w:lvl>
    <w:lvl w:ilvl="7" w:tplc="C6207322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en-US"/>
      </w:rPr>
    </w:lvl>
    <w:lvl w:ilvl="8" w:tplc="5470A5AC">
      <w:numFmt w:val="bullet"/>
      <w:lvlText w:val="•"/>
      <w:lvlJc w:val="left"/>
      <w:pPr>
        <w:ind w:left="8820" w:hanging="361"/>
      </w:pPr>
      <w:rPr>
        <w:rFonts w:hint="default"/>
        <w:lang w:val="en-US" w:eastAsia="en-US" w:bidi="en-US"/>
      </w:rPr>
    </w:lvl>
  </w:abstractNum>
  <w:abstractNum w:abstractNumId="4">
    <w:nsid w:val="17F67B0A"/>
    <w:multiLevelType w:val="multilevel"/>
    <w:tmpl w:val="DEA27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2636283E"/>
    <w:multiLevelType w:val="multilevel"/>
    <w:tmpl w:val="33A2558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2AB81608"/>
    <w:multiLevelType w:val="hybridMultilevel"/>
    <w:tmpl w:val="DD70D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017111"/>
    <w:multiLevelType w:val="hybridMultilevel"/>
    <w:tmpl w:val="DC902EAC"/>
    <w:lvl w:ilvl="0" w:tplc="EF3EC6E6">
      <w:numFmt w:val="bullet"/>
      <w:lvlText w:val=""/>
      <w:lvlJc w:val="left"/>
      <w:pPr>
        <w:ind w:left="1140" w:hanging="360"/>
      </w:pPr>
      <w:rPr>
        <w:rFonts w:ascii="Wingdings" w:eastAsia="Wingdings" w:hAnsi="Wingdings" w:cs="Tahoma" w:hint="default"/>
        <w:color w:val="71ADB7"/>
        <w:w w:val="100"/>
        <w:position w:val="4"/>
        <w:sz w:val="14"/>
        <w:szCs w:val="14"/>
        <w:lang w:val="en-US" w:eastAsia="en-US" w:bidi="en-US"/>
      </w:rPr>
    </w:lvl>
    <w:lvl w:ilvl="1" w:tplc="0672B4F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2" w:tplc="B57CFE1C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en-US"/>
      </w:rPr>
    </w:lvl>
    <w:lvl w:ilvl="3" w:tplc="FCCE0106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4" w:tplc="BC2C6DD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5" w:tplc="DAB03A8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E956087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7" w:tplc="4B9E3FA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  <w:lvl w:ilvl="8" w:tplc="808AB1AA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en-US"/>
      </w:rPr>
    </w:lvl>
  </w:abstractNum>
  <w:abstractNum w:abstractNumId="8">
    <w:nsid w:val="3A9C279C"/>
    <w:multiLevelType w:val="multilevel"/>
    <w:tmpl w:val="DEA27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3B08737D"/>
    <w:multiLevelType w:val="hybridMultilevel"/>
    <w:tmpl w:val="8CDA3062"/>
    <w:lvl w:ilvl="0" w:tplc="69C05C4A">
      <w:numFmt w:val="bullet"/>
      <w:lvlText w:val=""/>
      <w:lvlJc w:val="left"/>
      <w:pPr>
        <w:ind w:left="1860" w:hanging="360"/>
      </w:pPr>
      <w:rPr>
        <w:rFonts w:ascii="Wingdings" w:eastAsia="Wingdings" w:hAnsi="Wingdings" w:cs="Tahoma" w:hint="default"/>
        <w:w w:val="100"/>
        <w:sz w:val="24"/>
        <w:szCs w:val="24"/>
        <w:lang w:val="en-US" w:eastAsia="en-US" w:bidi="en-US"/>
      </w:rPr>
    </w:lvl>
    <w:lvl w:ilvl="1" w:tplc="18A03BC4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2" w:tplc="3BD60710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3" w:tplc="64F0DD2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4" w:tplc="16A29CDE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en-US"/>
      </w:rPr>
    </w:lvl>
    <w:lvl w:ilvl="5" w:tplc="66A06E92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6" w:tplc="7980CA14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en-US"/>
      </w:rPr>
    </w:lvl>
    <w:lvl w:ilvl="7" w:tplc="DC9AA180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  <w:lvl w:ilvl="8" w:tplc="5884372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en-US"/>
      </w:rPr>
    </w:lvl>
  </w:abstractNum>
  <w:abstractNum w:abstractNumId="10">
    <w:nsid w:val="3ED11B4C"/>
    <w:multiLevelType w:val="multilevel"/>
    <w:tmpl w:val="DEA27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462C5A56"/>
    <w:multiLevelType w:val="multilevel"/>
    <w:tmpl w:val="DEA27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469D2E7E"/>
    <w:multiLevelType w:val="multilevel"/>
    <w:tmpl w:val="BE8E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D13C7"/>
    <w:multiLevelType w:val="multilevel"/>
    <w:tmpl w:val="D7FEC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>
    <w:nsid w:val="55B546A5"/>
    <w:multiLevelType w:val="hybridMultilevel"/>
    <w:tmpl w:val="F800CF28"/>
    <w:lvl w:ilvl="0" w:tplc="CA22016A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Tahoma" w:hint="default"/>
        <w:w w:val="100"/>
        <w:sz w:val="22"/>
        <w:szCs w:val="22"/>
        <w:lang w:val="en-US" w:eastAsia="en-US" w:bidi="en-US"/>
      </w:rPr>
    </w:lvl>
    <w:lvl w:ilvl="1" w:tplc="BDEA6C86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en-US"/>
      </w:rPr>
    </w:lvl>
    <w:lvl w:ilvl="2" w:tplc="D1C29EB8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en-US"/>
      </w:rPr>
    </w:lvl>
    <w:lvl w:ilvl="3" w:tplc="6824A6C8">
      <w:numFmt w:val="bullet"/>
      <w:lvlText w:val="•"/>
      <w:lvlJc w:val="left"/>
      <w:pPr>
        <w:ind w:left="3822" w:hanging="361"/>
      </w:pPr>
      <w:rPr>
        <w:rFonts w:hint="default"/>
        <w:lang w:val="en-US" w:eastAsia="en-US" w:bidi="en-US"/>
      </w:rPr>
    </w:lvl>
    <w:lvl w:ilvl="4" w:tplc="B2DE79C2">
      <w:numFmt w:val="bullet"/>
      <w:lvlText w:val="•"/>
      <w:lvlJc w:val="left"/>
      <w:pPr>
        <w:ind w:left="4816" w:hanging="361"/>
      </w:pPr>
      <w:rPr>
        <w:rFonts w:hint="default"/>
        <w:lang w:val="en-US" w:eastAsia="en-US" w:bidi="en-US"/>
      </w:rPr>
    </w:lvl>
    <w:lvl w:ilvl="5" w:tplc="7D663E3C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en-US"/>
      </w:rPr>
    </w:lvl>
    <w:lvl w:ilvl="6" w:tplc="11CAEB2A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en-US"/>
      </w:rPr>
    </w:lvl>
    <w:lvl w:ilvl="7" w:tplc="568A4F0E">
      <w:numFmt w:val="bullet"/>
      <w:lvlText w:val="•"/>
      <w:lvlJc w:val="left"/>
      <w:pPr>
        <w:ind w:left="7798" w:hanging="361"/>
      </w:pPr>
      <w:rPr>
        <w:rFonts w:hint="default"/>
        <w:lang w:val="en-US" w:eastAsia="en-US" w:bidi="en-US"/>
      </w:rPr>
    </w:lvl>
    <w:lvl w:ilvl="8" w:tplc="567EB07C">
      <w:numFmt w:val="bullet"/>
      <w:lvlText w:val="•"/>
      <w:lvlJc w:val="left"/>
      <w:pPr>
        <w:ind w:left="8792" w:hanging="361"/>
      </w:pPr>
      <w:rPr>
        <w:rFonts w:hint="default"/>
        <w:lang w:val="en-US" w:eastAsia="en-US" w:bidi="en-US"/>
      </w:rPr>
    </w:lvl>
  </w:abstractNum>
  <w:abstractNum w:abstractNumId="15">
    <w:nsid w:val="6B847123"/>
    <w:multiLevelType w:val="multilevel"/>
    <w:tmpl w:val="125A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92647"/>
    <w:multiLevelType w:val="multilevel"/>
    <w:tmpl w:val="33A2558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6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8C6A64"/>
    <w:rsid w:val="00015B1C"/>
    <w:rsid w:val="00047744"/>
    <w:rsid w:val="000755D0"/>
    <w:rsid w:val="0008628C"/>
    <w:rsid w:val="000F5A66"/>
    <w:rsid w:val="00107F25"/>
    <w:rsid w:val="00112F20"/>
    <w:rsid w:val="00116BCC"/>
    <w:rsid w:val="0018627A"/>
    <w:rsid w:val="001A1EBF"/>
    <w:rsid w:val="001B7EA6"/>
    <w:rsid w:val="00200E5B"/>
    <w:rsid w:val="002036DC"/>
    <w:rsid w:val="00220B11"/>
    <w:rsid w:val="0026301C"/>
    <w:rsid w:val="00277666"/>
    <w:rsid w:val="00280EE1"/>
    <w:rsid w:val="00286173"/>
    <w:rsid w:val="002F6819"/>
    <w:rsid w:val="0030769E"/>
    <w:rsid w:val="003439DD"/>
    <w:rsid w:val="0039560E"/>
    <w:rsid w:val="003C2801"/>
    <w:rsid w:val="0046648C"/>
    <w:rsid w:val="00487191"/>
    <w:rsid w:val="004E5C02"/>
    <w:rsid w:val="005309EF"/>
    <w:rsid w:val="0054241A"/>
    <w:rsid w:val="00576C5F"/>
    <w:rsid w:val="00577C57"/>
    <w:rsid w:val="005B5D52"/>
    <w:rsid w:val="005B6D16"/>
    <w:rsid w:val="0060615B"/>
    <w:rsid w:val="00681D3A"/>
    <w:rsid w:val="006C420C"/>
    <w:rsid w:val="007233DF"/>
    <w:rsid w:val="007339CC"/>
    <w:rsid w:val="007363B2"/>
    <w:rsid w:val="007549D9"/>
    <w:rsid w:val="007A60F6"/>
    <w:rsid w:val="00836E59"/>
    <w:rsid w:val="00856D6C"/>
    <w:rsid w:val="00882202"/>
    <w:rsid w:val="008C6A64"/>
    <w:rsid w:val="008C701E"/>
    <w:rsid w:val="00905A77"/>
    <w:rsid w:val="00931CC8"/>
    <w:rsid w:val="00984CD4"/>
    <w:rsid w:val="009E7EFB"/>
    <w:rsid w:val="009F2315"/>
    <w:rsid w:val="00AC7E76"/>
    <w:rsid w:val="00B0183A"/>
    <w:rsid w:val="00B2127F"/>
    <w:rsid w:val="00B46001"/>
    <w:rsid w:val="00B60E0B"/>
    <w:rsid w:val="00B7435B"/>
    <w:rsid w:val="00B932DF"/>
    <w:rsid w:val="00BC01B3"/>
    <w:rsid w:val="00C71572"/>
    <w:rsid w:val="00CF48EF"/>
    <w:rsid w:val="00D068AF"/>
    <w:rsid w:val="00D267CE"/>
    <w:rsid w:val="00D33E5F"/>
    <w:rsid w:val="00D37436"/>
    <w:rsid w:val="00D6722A"/>
    <w:rsid w:val="00D80B06"/>
    <w:rsid w:val="00D9252C"/>
    <w:rsid w:val="00DA3E5C"/>
    <w:rsid w:val="00DF3693"/>
    <w:rsid w:val="00E038D3"/>
    <w:rsid w:val="00EB7FC1"/>
    <w:rsid w:val="00EC54C5"/>
    <w:rsid w:val="00ED42F3"/>
    <w:rsid w:val="00F12427"/>
    <w:rsid w:val="00F1455A"/>
    <w:rsid w:val="00F76B4C"/>
    <w:rsid w:val="00FB69BC"/>
    <w:rsid w:val="00FC2B2C"/>
    <w:rsid w:val="00FD786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uiPriority w:val="1"/>
    <w:qFormat/>
    <w:rsid w:val="007363B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363B2"/>
    <w:pPr>
      <w:spacing w:line="368" w:lineRule="exact"/>
      <w:ind w:left="2615" w:right="231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363B2"/>
    <w:pPr>
      <w:spacing w:before="70"/>
      <w:ind w:left="143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7363B2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7363B2"/>
    <w:pPr>
      <w:ind w:left="1860" w:hanging="360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7363B2"/>
  </w:style>
  <w:style w:type="paragraph" w:styleId="BalloonText">
    <w:name w:val="Balloon Text"/>
    <w:basedOn w:val="Normal"/>
    <w:link w:val="BalloonTextChar"/>
    <w:uiPriority w:val="99"/>
    <w:semiHidden/>
    <w:unhideWhenUsed/>
    <w:rsid w:val="00DA3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5C"/>
    <w:rPr>
      <w:rFonts w:ascii="Tahoma" w:eastAsia="Arial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CF48EF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55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4600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15B1C"/>
    <w:pPr>
      <w:widowControl/>
      <w:autoSpaceDE/>
      <w:autoSpaceDN/>
      <w:spacing w:beforeLines="1" w:afterLines="1"/>
    </w:pPr>
    <w:rPr>
      <w:rFonts w:ascii="Times" w:eastAsiaTheme="minorHAnsi" w:hAnsi="Times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68" w:lineRule="exact"/>
      <w:ind w:left="2615" w:right="231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0"/>
      <w:ind w:left="143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pPr>
      <w:ind w:left="1860" w:hanging="360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3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5C"/>
    <w:rPr>
      <w:rFonts w:ascii="Tahoma" w:eastAsia="Arial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CF48EF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MPO Staff Report</vt:lpstr>
    </vt:vector>
  </TitlesOfParts>
  <Company>City of Santa Fe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MPO Staff Report</dc:title>
  <dc:creator>tnelson</dc:creator>
  <cp:lastModifiedBy>Leah Yngve</cp:lastModifiedBy>
  <cp:revision>3</cp:revision>
  <cp:lastPrinted>2018-09-05T15:06:00Z</cp:lastPrinted>
  <dcterms:created xsi:type="dcterms:W3CDTF">2022-04-20T15:10:00Z</dcterms:created>
  <dcterms:modified xsi:type="dcterms:W3CDTF">2022-04-20T16:57:00Z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2018-08-28T00:00:00Z</vt:filetime>
  </property>
</Properties>
</file>